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0"/>
        <w:gridCol w:w="6368"/>
      </w:tblGrid>
      <w:tr w:rsidR="00DF64A8" w:rsidRPr="00DF64A8" w:rsidTr="00DF64A8">
        <w:trPr>
          <w:tblCellSpacing w:w="7" w:type="dxa"/>
        </w:trPr>
        <w:tc>
          <w:tcPr>
            <w:tcW w:w="0" w:type="auto"/>
            <w:gridSpan w:val="2"/>
            <w:shd w:val="clear" w:color="auto" w:fill="A2CCFB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DF64A8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ТЕХНИЧЕСКИЕ ХАРАКТЕРИСТИКИ</w:t>
            </w:r>
          </w:p>
        </w:tc>
      </w:tr>
      <w:tr w:rsidR="00DF64A8" w:rsidRPr="00DF64A8" w:rsidTr="00DF64A8">
        <w:trPr>
          <w:tblCellSpacing w:w="7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DF64A8">
              <w:rPr>
                <w:rFonts w:ascii="Verdana" w:eastAsia="Times New Roman" w:hAnsi="Verdana"/>
                <w:b/>
                <w:bCs/>
                <w:sz w:val="15"/>
                <w:szCs w:val="15"/>
                <w:lang w:eastAsia="ru-RU"/>
              </w:rPr>
              <w:t>ОБЩИЕ ДАННЫЕ</w:t>
            </w:r>
          </w:p>
        </w:tc>
      </w:tr>
      <w:tr w:rsidR="00DF64A8" w:rsidRPr="00DF64A8" w:rsidTr="00DF64A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DF64A8">
              <w:rPr>
                <w:rFonts w:ascii="Verdana" w:eastAsia="Times New Roman" w:hAnsi="Verdana"/>
                <w:sz w:val="15"/>
                <w:szCs w:val="15"/>
                <w:lang w:eastAsia="ru-RU"/>
              </w:rPr>
              <w:t>Количество измерительных каналов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DF64A8">
              <w:rPr>
                <w:rFonts w:ascii="Verdana" w:eastAsia="Times New Roman" w:hAnsi="Verdana"/>
                <w:sz w:val="15"/>
                <w:szCs w:val="15"/>
                <w:lang w:eastAsia="ru-RU"/>
              </w:rPr>
              <w:t>2 из 16 каналов;</w:t>
            </w:r>
          </w:p>
        </w:tc>
      </w:tr>
      <w:tr w:rsidR="00DF64A8" w:rsidRPr="00DF64A8" w:rsidTr="00DF64A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DF64A8">
              <w:rPr>
                <w:rFonts w:ascii="Verdana" w:eastAsia="Times New Roman" w:hAnsi="Verdana"/>
                <w:sz w:val="15"/>
                <w:szCs w:val="15"/>
                <w:lang w:eastAsia="ru-RU"/>
              </w:rPr>
              <w:t>Тип АЦП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DF64A8">
              <w:rPr>
                <w:rFonts w:ascii="Verdana" w:eastAsia="Times New Roman" w:hAnsi="Verdana"/>
                <w:sz w:val="15"/>
                <w:szCs w:val="15"/>
                <w:lang w:eastAsia="ru-RU"/>
              </w:rPr>
              <w:t>последовательного приближения;</w:t>
            </w:r>
          </w:p>
        </w:tc>
      </w:tr>
      <w:tr w:rsidR="00DF64A8" w:rsidRPr="00DF64A8" w:rsidTr="00DF64A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DF64A8">
              <w:rPr>
                <w:rFonts w:ascii="Verdana" w:eastAsia="Times New Roman" w:hAnsi="Verdana"/>
                <w:sz w:val="15"/>
                <w:szCs w:val="15"/>
                <w:lang w:eastAsia="ru-RU"/>
              </w:rPr>
              <w:t>Разрешение АЦП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DF64A8">
              <w:rPr>
                <w:rFonts w:ascii="Verdana" w:eastAsia="Times New Roman" w:hAnsi="Verdana"/>
                <w:sz w:val="15"/>
                <w:szCs w:val="15"/>
                <w:lang w:eastAsia="ru-RU"/>
              </w:rPr>
              <w:t>14 бит;</w:t>
            </w:r>
          </w:p>
        </w:tc>
      </w:tr>
      <w:tr w:rsidR="00DF64A8" w:rsidRPr="00DF64A8" w:rsidTr="00DF64A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DF64A8">
              <w:rPr>
                <w:rFonts w:ascii="Verdana" w:eastAsia="Times New Roman" w:hAnsi="Verdana"/>
                <w:sz w:val="15"/>
                <w:szCs w:val="15"/>
                <w:lang w:eastAsia="ru-RU"/>
              </w:rPr>
              <w:t>Диапазоны входных напряжений, 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DF64A8">
              <w:rPr>
                <w:rFonts w:ascii="Verdana" w:eastAsia="Times New Roman" w:hAnsi="Verdana"/>
                <w:sz w:val="15"/>
                <w:szCs w:val="15"/>
                <w:lang w:eastAsia="ru-RU"/>
              </w:rPr>
              <w:t>10, 5, 2.5, 1, 0.5, 0.25, 0.1;</w:t>
            </w:r>
          </w:p>
        </w:tc>
      </w:tr>
      <w:tr w:rsidR="00DF64A8" w:rsidRPr="00DF64A8" w:rsidTr="00DF64A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DF64A8">
              <w:rPr>
                <w:rFonts w:ascii="Verdana" w:eastAsia="Times New Roman" w:hAnsi="Verdana"/>
                <w:sz w:val="15"/>
                <w:szCs w:val="15"/>
                <w:lang w:eastAsia="ru-RU"/>
              </w:rPr>
              <w:t>Полосы пропускания, Гц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DF64A8">
              <w:rPr>
                <w:rFonts w:ascii="Verdana" w:eastAsia="Times New Roman" w:hAnsi="Verdana"/>
                <w:sz w:val="15"/>
                <w:szCs w:val="15"/>
                <w:lang w:eastAsia="ru-RU"/>
              </w:rPr>
              <w:t>80000, 40000, 20000, 12800, 10000, 6400, 5000,3200, 2500, 1600, 800, 400, 200, 100, 50, 25;</w:t>
            </w:r>
          </w:p>
        </w:tc>
      </w:tr>
      <w:tr w:rsidR="00DF64A8" w:rsidRPr="00DF64A8" w:rsidTr="00DF64A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DF64A8">
              <w:rPr>
                <w:rFonts w:ascii="Verdana" w:eastAsia="Times New Roman" w:hAnsi="Verdana"/>
                <w:sz w:val="15"/>
                <w:szCs w:val="15"/>
                <w:lang w:eastAsia="ru-RU"/>
              </w:rPr>
              <w:t>Суммарный динамический диапазон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DF64A8">
              <w:rPr>
                <w:rFonts w:ascii="Verdana" w:eastAsia="Times New Roman" w:hAnsi="Verdana"/>
                <w:sz w:val="15"/>
                <w:szCs w:val="15"/>
                <w:lang w:eastAsia="ru-RU"/>
              </w:rPr>
              <w:t>118 дБ;</w:t>
            </w:r>
          </w:p>
        </w:tc>
      </w:tr>
      <w:tr w:rsidR="00DF64A8" w:rsidRPr="00DF64A8" w:rsidTr="00DF64A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DF64A8">
              <w:rPr>
                <w:rFonts w:ascii="Verdana" w:eastAsia="Times New Roman" w:hAnsi="Verdana"/>
                <w:sz w:val="15"/>
                <w:szCs w:val="15"/>
                <w:lang w:eastAsia="ru-RU"/>
              </w:rPr>
              <w:t>Пульсация в полосе пропускания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DF64A8">
              <w:rPr>
                <w:rFonts w:ascii="Verdana" w:eastAsia="Times New Roman" w:hAnsi="Verdana"/>
                <w:sz w:val="15"/>
                <w:szCs w:val="15"/>
                <w:lang w:eastAsia="ru-RU"/>
              </w:rPr>
              <w:t>0.3 дБ;</w:t>
            </w:r>
          </w:p>
        </w:tc>
      </w:tr>
      <w:tr w:rsidR="00DF64A8" w:rsidRPr="00DF64A8" w:rsidTr="00DF64A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DF64A8">
              <w:rPr>
                <w:rFonts w:ascii="Verdana" w:eastAsia="Times New Roman" w:hAnsi="Verdana"/>
                <w:sz w:val="15"/>
                <w:szCs w:val="15"/>
                <w:lang w:eastAsia="ru-RU"/>
              </w:rPr>
              <w:t>Перекрестный шум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DF64A8">
              <w:rPr>
                <w:rFonts w:ascii="Verdana" w:eastAsia="Times New Roman" w:hAnsi="Verdana"/>
                <w:sz w:val="15"/>
                <w:szCs w:val="15"/>
                <w:lang w:eastAsia="ru-RU"/>
              </w:rPr>
              <w:t>-80 дБ;</w:t>
            </w:r>
          </w:p>
        </w:tc>
      </w:tr>
      <w:tr w:rsidR="00DF64A8" w:rsidRPr="00DF64A8" w:rsidTr="00DF64A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DF64A8">
              <w:rPr>
                <w:rFonts w:ascii="Verdana" w:eastAsia="Times New Roman" w:hAnsi="Verdana"/>
                <w:sz w:val="15"/>
                <w:szCs w:val="15"/>
                <w:lang w:eastAsia="ru-RU"/>
              </w:rPr>
              <w:t>Межканальные искажения (с цифровой коррекцией):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DF64A8">
              <w:rPr>
                <w:rFonts w:ascii="Verdana" w:eastAsia="Times New Roman" w:hAnsi="Verdana"/>
                <w:sz w:val="15"/>
                <w:szCs w:val="15"/>
                <w:lang w:eastAsia="ru-RU"/>
              </w:rPr>
              <w:t>Модуль: 0,1 дБ;</w:t>
            </w:r>
            <w:r w:rsidRPr="00DF64A8">
              <w:rPr>
                <w:rFonts w:ascii="Verdana" w:eastAsia="Times New Roman" w:hAnsi="Verdana"/>
                <w:sz w:val="15"/>
                <w:szCs w:val="15"/>
                <w:lang w:eastAsia="ru-RU"/>
              </w:rPr>
              <w:br/>
              <w:t>Фаза: &lt; 0.3;</w:t>
            </w:r>
          </w:p>
        </w:tc>
      </w:tr>
      <w:tr w:rsidR="00DF64A8" w:rsidRPr="00DF64A8" w:rsidTr="00DF64A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DF64A8">
              <w:rPr>
                <w:rFonts w:ascii="Verdana" w:eastAsia="Times New Roman" w:hAnsi="Verdana"/>
                <w:sz w:val="15"/>
                <w:szCs w:val="15"/>
                <w:lang w:eastAsia="ru-RU"/>
              </w:rPr>
              <w:t>Цифровой триггер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DF64A8">
              <w:rPr>
                <w:rFonts w:ascii="Verdana" w:eastAsia="Times New Roman" w:hAnsi="Verdana"/>
                <w:sz w:val="15"/>
                <w:szCs w:val="15"/>
                <w:lang w:eastAsia="ru-RU"/>
              </w:rPr>
              <w:t>ТТЛ совместимый</w:t>
            </w:r>
          </w:p>
        </w:tc>
      </w:tr>
      <w:tr w:rsidR="00DF64A8" w:rsidRPr="00DF64A8" w:rsidTr="00DF64A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DF64A8">
              <w:rPr>
                <w:rFonts w:ascii="Verdana" w:eastAsia="Times New Roman" w:hAnsi="Verdana"/>
                <w:sz w:val="15"/>
                <w:szCs w:val="15"/>
                <w:lang w:eastAsia="ru-RU"/>
              </w:rPr>
              <w:t>ICP питание на каждый канал(на внешней коммутационной коробке)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DF64A8">
              <w:rPr>
                <w:rFonts w:ascii="Verdana" w:eastAsia="Times New Roman" w:hAnsi="Verdana"/>
                <w:sz w:val="15"/>
                <w:szCs w:val="15"/>
                <w:lang w:eastAsia="ru-RU"/>
              </w:rPr>
              <w:t>24В, 4 мА;</w:t>
            </w:r>
          </w:p>
        </w:tc>
      </w:tr>
      <w:tr w:rsidR="00DF64A8" w:rsidRPr="00DF64A8" w:rsidTr="00DF64A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DF64A8">
              <w:rPr>
                <w:rFonts w:ascii="Verdana" w:eastAsia="Times New Roman" w:hAnsi="Verdana"/>
                <w:sz w:val="15"/>
                <w:szCs w:val="15"/>
                <w:lang w:eastAsia="ru-RU"/>
              </w:rPr>
              <w:t>программное управление включением/отключением ICP питания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64A8" w:rsidRPr="00DF64A8" w:rsidTr="00DF64A8">
        <w:trPr>
          <w:tblCellSpacing w:w="7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DF64A8">
              <w:rPr>
                <w:rFonts w:ascii="Verdana" w:eastAsia="Times New Roman" w:hAnsi="Verdana"/>
                <w:b/>
                <w:bCs/>
                <w:sz w:val="15"/>
                <w:szCs w:val="15"/>
                <w:lang w:eastAsia="ru-RU"/>
              </w:rPr>
              <w:t>Параметры анализа</w:t>
            </w:r>
          </w:p>
        </w:tc>
      </w:tr>
      <w:tr w:rsidR="00DF64A8" w:rsidRPr="00DF64A8" w:rsidTr="00DF64A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DF64A8">
              <w:rPr>
                <w:rFonts w:ascii="Verdana" w:eastAsia="Times New Roman" w:hAnsi="Verdana"/>
                <w:sz w:val="15"/>
                <w:szCs w:val="15"/>
                <w:lang w:eastAsia="ru-RU"/>
              </w:rPr>
              <w:t>Количество полос анализа выбирается пользователем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DF64A8">
              <w:rPr>
                <w:rFonts w:ascii="Verdana" w:eastAsia="Times New Roman" w:hAnsi="Verdana"/>
                <w:sz w:val="15"/>
                <w:szCs w:val="15"/>
                <w:lang w:eastAsia="ru-RU"/>
              </w:rPr>
              <w:t>до 6400</w:t>
            </w:r>
          </w:p>
        </w:tc>
      </w:tr>
      <w:tr w:rsidR="00DF64A8" w:rsidRPr="00DF64A8" w:rsidTr="00DF64A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DF64A8">
              <w:rPr>
                <w:rFonts w:ascii="Verdana" w:eastAsia="Times New Roman" w:hAnsi="Verdana"/>
                <w:sz w:val="15"/>
                <w:szCs w:val="15"/>
                <w:lang w:eastAsia="ru-RU"/>
              </w:rPr>
              <w:t>Режимы сглаживания результатов измерений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DF64A8">
              <w:rPr>
                <w:rFonts w:ascii="Verdana" w:eastAsia="Times New Roman" w:hAnsi="Verdana"/>
                <w:sz w:val="15"/>
                <w:szCs w:val="15"/>
                <w:lang w:eastAsia="ru-RU"/>
              </w:rPr>
              <w:t>Лин., Эксп.</w:t>
            </w:r>
          </w:p>
        </w:tc>
      </w:tr>
      <w:tr w:rsidR="00DF64A8" w:rsidRPr="00DF64A8" w:rsidTr="00DF64A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DF64A8">
              <w:rPr>
                <w:rFonts w:ascii="Verdana" w:eastAsia="Times New Roman" w:hAnsi="Verdana"/>
                <w:sz w:val="15"/>
                <w:szCs w:val="15"/>
                <w:lang w:eastAsia="ru-RU"/>
              </w:rPr>
              <w:t>Перекрытие данных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DF64A8">
              <w:rPr>
                <w:rFonts w:ascii="Verdana" w:eastAsia="Times New Roman" w:hAnsi="Verdana"/>
                <w:sz w:val="15"/>
                <w:szCs w:val="15"/>
                <w:lang w:eastAsia="ru-RU"/>
              </w:rPr>
              <w:t>0 - 0.875%</w:t>
            </w:r>
          </w:p>
        </w:tc>
      </w:tr>
      <w:tr w:rsidR="00DF64A8" w:rsidRPr="00DF64A8" w:rsidTr="00DF64A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DF64A8">
              <w:rPr>
                <w:rFonts w:ascii="Verdana" w:eastAsia="Times New Roman" w:hAnsi="Verdana"/>
                <w:sz w:val="15"/>
                <w:szCs w:val="15"/>
                <w:lang w:eastAsia="ru-RU"/>
              </w:rPr>
              <w:t>Дифференцирование и интегрирование во временной и частотной областях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64A8" w:rsidRPr="00DF64A8" w:rsidTr="00DF64A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DF64A8">
              <w:rPr>
                <w:rFonts w:ascii="Verdana" w:eastAsia="Times New Roman" w:hAnsi="Verdana"/>
                <w:sz w:val="15"/>
                <w:szCs w:val="15"/>
                <w:lang w:eastAsia="ru-RU"/>
              </w:rPr>
              <w:t>Многофункциональный стартовый модуль обеспечивает запуск по ТТЛ уровню, по уровню сигнала запускающего канала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64A8" w:rsidRPr="00DF64A8" w:rsidTr="00DF64A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DF64A8">
              <w:rPr>
                <w:rFonts w:ascii="Verdana" w:eastAsia="Times New Roman" w:hAnsi="Verdana"/>
                <w:sz w:val="15"/>
                <w:szCs w:val="15"/>
                <w:lang w:eastAsia="ru-RU"/>
              </w:rPr>
              <w:t>Количество режимов запуска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64A8" w:rsidRPr="00DF64A8" w:rsidRDefault="00DF64A8" w:rsidP="00DF64A8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DF64A8">
              <w:rPr>
                <w:rFonts w:ascii="Verdana" w:eastAsia="Times New Roman" w:hAnsi="Verdana"/>
                <w:sz w:val="15"/>
                <w:szCs w:val="15"/>
                <w:lang w:eastAsia="ru-RU"/>
              </w:rPr>
              <w:t>9</w:t>
            </w:r>
          </w:p>
        </w:tc>
      </w:tr>
    </w:tbl>
    <w:p w:rsidR="00591AAF" w:rsidRPr="00DF64A8" w:rsidRDefault="00591AAF" w:rsidP="00DF64A8">
      <w:pPr>
        <w:rPr>
          <w:b/>
        </w:rPr>
      </w:pPr>
      <w:bookmarkStart w:id="0" w:name="_GoBack"/>
      <w:bookmarkEnd w:id="0"/>
    </w:p>
    <w:sectPr w:rsidR="00591AAF" w:rsidRPr="00DF64A8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23"/>
  </w:num>
  <w:num w:numId="5">
    <w:abstractNumId w:val="3"/>
  </w:num>
  <w:num w:numId="6">
    <w:abstractNumId w:val="21"/>
  </w:num>
  <w:num w:numId="7">
    <w:abstractNumId w:val="14"/>
  </w:num>
  <w:num w:numId="8">
    <w:abstractNumId w:val="7"/>
  </w:num>
  <w:num w:numId="9">
    <w:abstractNumId w:val="15"/>
  </w:num>
  <w:num w:numId="10">
    <w:abstractNumId w:val="0"/>
  </w:num>
  <w:num w:numId="11">
    <w:abstractNumId w:val="12"/>
  </w:num>
  <w:num w:numId="12">
    <w:abstractNumId w:val="24"/>
  </w:num>
  <w:num w:numId="13">
    <w:abstractNumId w:val="13"/>
  </w:num>
  <w:num w:numId="14">
    <w:abstractNumId w:val="18"/>
  </w:num>
  <w:num w:numId="15">
    <w:abstractNumId w:val="20"/>
  </w:num>
  <w:num w:numId="16">
    <w:abstractNumId w:val="26"/>
  </w:num>
  <w:num w:numId="17">
    <w:abstractNumId w:val="11"/>
  </w:num>
  <w:num w:numId="18">
    <w:abstractNumId w:val="1"/>
  </w:num>
  <w:num w:numId="19">
    <w:abstractNumId w:val="16"/>
  </w:num>
  <w:num w:numId="20">
    <w:abstractNumId w:val="6"/>
  </w:num>
  <w:num w:numId="21">
    <w:abstractNumId w:val="25"/>
  </w:num>
  <w:num w:numId="22">
    <w:abstractNumId w:val="8"/>
  </w:num>
  <w:num w:numId="23">
    <w:abstractNumId w:val="19"/>
  </w:num>
  <w:num w:numId="24">
    <w:abstractNumId w:val="4"/>
  </w:num>
  <w:num w:numId="25">
    <w:abstractNumId w:val="28"/>
  </w:num>
  <w:num w:numId="26">
    <w:abstractNumId w:val="17"/>
  </w:num>
  <w:num w:numId="27">
    <w:abstractNumId w:val="9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BDA"/>
    <w:rsid w:val="0013268D"/>
    <w:rsid w:val="0019528C"/>
    <w:rsid w:val="00260956"/>
    <w:rsid w:val="00350AAF"/>
    <w:rsid w:val="0039777C"/>
    <w:rsid w:val="003A1171"/>
    <w:rsid w:val="00442681"/>
    <w:rsid w:val="0047590D"/>
    <w:rsid w:val="004D1DCA"/>
    <w:rsid w:val="00504F6E"/>
    <w:rsid w:val="0051425C"/>
    <w:rsid w:val="00526711"/>
    <w:rsid w:val="00591AAF"/>
    <w:rsid w:val="005A0B57"/>
    <w:rsid w:val="006370D7"/>
    <w:rsid w:val="0069444A"/>
    <w:rsid w:val="006A1FB3"/>
    <w:rsid w:val="006A708A"/>
    <w:rsid w:val="008443FC"/>
    <w:rsid w:val="0093004B"/>
    <w:rsid w:val="009C3F0F"/>
    <w:rsid w:val="00A60FB5"/>
    <w:rsid w:val="00AF3089"/>
    <w:rsid w:val="00B12FC7"/>
    <w:rsid w:val="00B86130"/>
    <w:rsid w:val="00BB45AD"/>
    <w:rsid w:val="00C67DBE"/>
    <w:rsid w:val="00D56F6E"/>
    <w:rsid w:val="00DB555B"/>
    <w:rsid w:val="00DF64A8"/>
    <w:rsid w:val="00E016F6"/>
    <w:rsid w:val="00E01897"/>
    <w:rsid w:val="00E65E56"/>
    <w:rsid w:val="00E846CF"/>
    <w:rsid w:val="00EC55A1"/>
    <w:rsid w:val="00EF4D76"/>
    <w:rsid w:val="00F577ED"/>
    <w:rsid w:val="00F7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50</cp:revision>
  <dcterms:created xsi:type="dcterms:W3CDTF">2020-04-11T23:43:00Z</dcterms:created>
  <dcterms:modified xsi:type="dcterms:W3CDTF">2020-05-26T09:40:00Z</dcterms:modified>
</cp:coreProperties>
</file>